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Umysł klienta jest wiele wart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w badaniach produktu, (tzw. testy ślepe) Pepsi wypada znacznie lepiej niż Coca-Cola. Konsumenci cenią smak Pepsi i napój ten jest zdecydowanym numerem 1. Kiedy porównywane są wyniki sprzedaży zdecydowanym zwycięzcą jest Coca-Cola? Jak to możliwe, że napój, którego walory smakowe i parametry organoleptyczne oceniane są wyżej nie jest liderem rynkowym? Mimo posiadanej wiedzy w tym zakresie (już od lat 70-tych XX wieku) nie udało się odwrócić tej tendencji rynkowej a Mistrz pozostaje niedościgniony?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cena czyni cuda?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słyszymy od klientów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produkt był tańszy sprzedawałby się znacznie lepiej</w:t>
      </w:r>
      <w:r>
        <w:rPr>
          <w:rFonts w:ascii="calibri" w:hAnsi="calibri" w:eastAsia="calibri" w:cs="calibri"/>
          <w:sz w:val="24"/>
          <w:szCs w:val="24"/>
        </w:rPr>
        <w:t xml:space="preserve">". Czy na pewno tak by się stało? Jak zatem wytłumaczyć wszechobecność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marek premium</w:t>
      </w:r>
      <w:r>
        <w:rPr>
          <w:rFonts w:ascii="calibri" w:hAnsi="calibri" w:eastAsia="calibri" w:cs="calibri"/>
          <w:sz w:val="24"/>
          <w:szCs w:val="24"/>
        </w:rPr>
        <w:t xml:space="preserve"> a nawet selektywnych, których cena, chociaż wysoka, nie da się strącić z piedestału? Kiedy słyszę takie stwierdzenia często zadaję pytanie dopasowane do rozmówcy (staram się zidentyfikować wcześniej jego styl życia, co lubi, czym się interesuje): aby nazwał markę, której używa w danej kategorii i niemal zawsze trafiam z odpowiedzią w markę z segmentu premium. Z kolei na pytanie, czemu zatem wybiera tę markę nie słyszę już racjonalnej odpowiedzi. I nie usłyszę.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produktu, atrakcyjne opakowanie czy cena, to oczywiście szereg ważnych elementów, które mają wpływ na podejmowane </w:t>
      </w:r>
      <w:r>
        <w:rPr>
          <w:rFonts w:ascii="calibri" w:hAnsi="calibri" w:eastAsia="calibri" w:cs="calibri"/>
          <w:sz w:val="24"/>
          <w:szCs w:val="24"/>
          <w:b/>
        </w:rPr>
        <w:t xml:space="preserve">decyzje konsumenckie</w:t>
      </w:r>
      <w:r>
        <w:rPr>
          <w:rFonts w:ascii="calibri" w:hAnsi="calibri" w:eastAsia="calibri" w:cs="calibri"/>
          <w:sz w:val="24"/>
          <w:szCs w:val="24"/>
        </w:rPr>
        <w:t xml:space="preserve">, jednak to nie jedyne parametry. </w:t>
      </w:r>
      <w:r>
        <w:rPr>
          <w:rFonts w:ascii="calibri" w:hAnsi="calibri" w:eastAsia="calibri" w:cs="calibri"/>
          <w:sz w:val="24"/>
          <w:szCs w:val="24"/>
          <w:b/>
        </w:rPr>
        <w:t xml:space="preserve">O zachowaniach nabywców decydują w dużej mierze emocje</w:t>
      </w:r>
      <w:r>
        <w:rPr>
          <w:rFonts w:ascii="calibri" w:hAnsi="calibri" w:eastAsia="calibri" w:cs="calibri"/>
          <w:sz w:val="24"/>
          <w:szCs w:val="24"/>
        </w:rPr>
        <w:t xml:space="preserve">, a tych nie da się przejrzyście nazwać i wytłumaczyć. Fakt, iż wybieramy określone opakowanie też podyktowanie jest często jakimiś emocjami. Aby uzyskać niezbędną wiedzę nie wystarczy zadać pytania wprost, gdyż brak odpowiedzi mamy gwarantowany. To właśnie poprzez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metody i techniki badawcze</w:t>
      </w:r>
      <w:r>
        <w:rPr>
          <w:rFonts w:ascii="calibri" w:hAnsi="calibri" w:eastAsia="calibri" w:cs="calibri"/>
          <w:sz w:val="24"/>
          <w:szCs w:val="24"/>
        </w:rPr>
        <w:t xml:space="preserve"> możemy dojść do tego, co siedzi w głowach naszych klientów. W zależności od rodzaju badania, pytania zmieniają też swój charakter. Najczęściej pytania kojarzą się nam z ankietami i mierzalnym efektem. Niestety nie zawsze tak jest - </w:t>
      </w:r>
      <w:r>
        <w:rPr>
          <w:rFonts w:ascii="calibri" w:hAnsi="calibri" w:eastAsia="calibri" w:cs="calibri"/>
          <w:sz w:val="24"/>
          <w:szCs w:val="24"/>
          <w:b/>
        </w:rPr>
        <w:t xml:space="preserve">ankieta to tylko jedna z wielu technik badawczych</w:t>
      </w:r>
      <w:r>
        <w:rPr>
          <w:rFonts w:ascii="calibri" w:hAnsi="calibri" w:eastAsia="calibri" w:cs="calibri"/>
          <w:sz w:val="24"/>
          <w:szCs w:val="24"/>
        </w:rPr>
        <w:t xml:space="preserve">. Przy większości badań potrzebny jest też udział specjalistów (psychologów, socjologów) czy przeszkolonych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biometryczne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metodą badawczą zgłębiającą umysły klientów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badania biometryczne</w:t>
      </w:r>
      <w:r>
        <w:rPr>
          <w:rFonts w:ascii="calibri" w:hAnsi="calibri" w:eastAsia="calibri" w:cs="calibri"/>
          <w:sz w:val="24"/>
          <w:szCs w:val="24"/>
        </w:rPr>
        <w:t xml:space="preserve">. Możemy wówczas mówić o tzw. </w:t>
      </w:r>
      <w:r>
        <w:rPr>
          <w:rFonts w:ascii="calibri" w:hAnsi="calibri" w:eastAsia="calibri" w:cs="calibri"/>
          <w:sz w:val="24"/>
          <w:szCs w:val="24"/>
          <w:b/>
        </w:rPr>
        <w:t xml:space="preserve">neuromarketingu</w:t>
      </w:r>
      <w:r>
        <w:rPr>
          <w:rFonts w:ascii="calibri" w:hAnsi="calibri" w:eastAsia="calibri" w:cs="calibri"/>
          <w:sz w:val="24"/>
          <w:szCs w:val="24"/>
        </w:rPr>
        <w:t xml:space="preserve">, kiedy rejestrowane są m.in. sygnały aktywności mózgu, ruch gałek ocznych. W ten sposób można badać reakcje klientów np. w procesie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treści reklamowych</w:t>
      </w:r>
      <w:r>
        <w:rPr>
          <w:rFonts w:ascii="calibri" w:hAnsi="calibri" w:eastAsia="calibri" w:cs="calibri"/>
          <w:sz w:val="24"/>
          <w:szCs w:val="24"/>
        </w:rPr>
        <w:t xml:space="preserve">. Pozwala to również identyfikować wspomniane wcześniej emocje. Często też metody i techniki badawcze przenikają się nawzajem. Między sobą mogą przeplatać się metody tradycyjne, ale również tradycyjne z nowoczesnymi. Do tego wszystkiego pojawia się w badaniach również potencjał związany z wykorzystaniem nowoczesnych mediów jak internet, który już z powodzeniem wkracza do tradycyjnych badań stwarzając nowe możliwości odkrywania potrzeb i motywacji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chce, nie każdy może, nie każdy musi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metody badawcze</w:t>
      </w:r>
      <w:r>
        <w:rPr>
          <w:rFonts w:ascii="calibri" w:hAnsi="calibri" w:eastAsia="calibri" w:cs="calibri"/>
          <w:sz w:val="24"/>
          <w:szCs w:val="24"/>
        </w:rPr>
        <w:t xml:space="preserve">. Warto jednak znać te zagadnienia, aby móc skoordynować cały proces, kiedy prowadzi go agencja zewnętrzna. Nawet na mniejszą skalę, wykonując mini badania samodzielnie warto wiedzieć jak właściwie skonstruować pytania, o co pytać i jak wyciągać z nich wnioski.</w:t>
      </w:r>
    </w:p>
    <w:p>
      <w:r>
        <w:rPr>
          <w:rFonts w:ascii="calibri" w:hAnsi="calibri" w:eastAsia="calibri" w:cs="calibri"/>
          <w:sz w:val="24"/>
          <w:szCs w:val="24"/>
        </w:rPr>
        <w:t xml:space="preserve">Umysł klienta jest wiele wart, bo pozwala określić, w jakim kierunku prowadzić markę, jakie produkty rozwijać, jak modyfikować lub wspierać dotychczasowe portfolio, jak konstruować przekazy reklamowe, jakie trendy pojawiają się wśród grupy docelowej itp. Jest zatem, o co walczyć.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2026-06-12T18:14:39+02:00</dcterms:created>
  <dcterms:modified xsi:type="dcterms:W3CDTF">2026-06-12T18:14:39+02:00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